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91" w:rsidRDefault="00E6365F">
      <w:pPr>
        <w:pStyle w:val="20"/>
        <w:shd w:val="clear" w:color="auto" w:fill="auto"/>
        <w:ind w:left="5780"/>
      </w:pPr>
      <w:r>
        <w:t>Утверждено решением Общего собрания членов</w:t>
      </w:r>
    </w:p>
    <w:p w:rsidR="00F4700E" w:rsidRPr="00F4700E" w:rsidRDefault="00F4700E" w:rsidP="00F4700E">
      <w:pPr>
        <w:pStyle w:val="20"/>
        <w:shd w:val="clear" w:color="auto" w:fill="auto"/>
        <w:tabs>
          <w:tab w:val="left" w:leader="underscore" w:pos="7630"/>
        </w:tabs>
        <w:ind w:left="5680"/>
        <w:jc w:val="both"/>
      </w:pPr>
      <w:r w:rsidRPr="00F4700E">
        <w:t xml:space="preserve">СРО Ассоциация </w:t>
      </w:r>
      <w:r>
        <w:t>«</w:t>
      </w:r>
      <w:r w:rsidRPr="00F4700E">
        <w:t>Проек</w:t>
      </w:r>
      <w:r>
        <w:t>тный комплекс «Нижняя Волга»</w:t>
      </w:r>
    </w:p>
    <w:p w:rsidR="00701D91" w:rsidRDefault="00E6365F">
      <w:pPr>
        <w:pStyle w:val="20"/>
        <w:shd w:val="clear" w:color="auto" w:fill="auto"/>
        <w:tabs>
          <w:tab w:val="left" w:leader="underscore" w:pos="6891"/>
          <w:tab w:val="left" w:leader="underscore" w:pos="7630"/>
          <w:tab w:val="left" w:leader="underscore" w:pos="8355"/>
        </w:tabs>
        <w:spacing w:after="4063"/>
        <w:ind w:left="4520"/>
        <w:jc w:val="both"/>
      </w:pPr>
      <w:r>
        <w:t>протокол от</w:t>
      </w:r>
      <w:r w:rsidR="00F4700E">
        <w:t xml:space="preserve"> 29 сентября 2016г. № 19</w:t>
      </w:r>
    </w:p>
    <w:p w:rsidR="00701D91" w:rsidRDefault="00E6365F" w:rsidP="00F4700E">
      <w:pPr>
        <w:pStyle w:val="30"/>
        <w:shd w:val="clear" w:color="auto" w:fill="auto"/>
        <w:spacing w:before="0"/>
        <w:jc w:val="center"/>
      </w:pPr>
      <w:r>
        <w:t>ПОЛОЖЕНИЕ</w:t>
      </w:r>
    </w:p>
    <w:p w:rsidR="00701D91" w:rsidRDefault="00E6365F" w:rsidP="00F4700E">
      <w:pPr>
        <w:pStyle w:val="30"/>
        <w:shd w:val="clear" w:color="auto" w:fill="auto"/>
        <w:spacing w:before="0"/>
        <w:jc w:val="center"/>
      </w:pPr>
      <w:r>
        <w:t>О КОМПЕНСАЦИОННОМ ФОНДЕ ВОЗМЕЩЕНИЯ</w:t>
      </w:r>
    </w:p>
    <w:p w:rsidR="00701D91" w:rsidRDefault="00E6365F" w:rsidP="00F4700E">
      <w:pPr>
        <w:pStyle w:val="30"/>
        <w:shd w:val="clear" w:color="auto" w:fill="auto"/>
        <w:spacing w:before="0" w:after="340"/>
        <w:jc w:val="center"/>
      </w:pPr>
      <w:r>
        <w:t>ВРЕДА</w:t>
      </w:r>
    </w:p>
    <w:p w:rsidR="00701D91" w:rsidRDefault="00F4700E" w:rsidP="00F4700E">
      <w:pPr>
        <w:pStyle w:val="30"/>
        <w:shd w:val="clear" w:color="auto" w:fill="auto"/>
        <w:spacing w:before="0" w:after="5430" w:line="320" w:lineRule="exact"/>
        <w:jc w:val="center"/>
      </w:pPr>
      <w:r w:rsidRPr="00F4700E">
        <w:t>СРО Ассоциация «Проектный комплекс «Нижняя Волга»</w:t>
      </w:r>
    </w:p>
    <w:p w:rsidR="00701D91" w:rsidRDefault="00E6365F">
      <w:pPr>
        <w:pStyle w:val="120"/>
        <w:keepNext/>
        <w:keepLines/>
        <w:shd w:val="clear" w:color="auto" w:fill="auto"/>
        <w:spacing w:before="0" w:after="0" w:line="240" w:lineRule="exact"/>
        <w:ind w:left="3040"/>
      </w:pPr>
      <w:bookmarkStart w:id="0" w:name="bookmark0"/>
      <w:r>
        <w:t>г.</w:t>
      </w:r>
      <w:bookmarkEnd w:id="0"/>
      <w:r w:rsidR="00F4700E">
        <w:t xml:space="preserve"> Волгоград</w:t>
      </w:r>
    </w:p>
    <w:p w:rsidR="00701D91" w:rsidRDefault="00F4700E">
      <w:pPr>
        <w:pStyle w:val="40"/>
        <w:shd w:val="clear" w:color="auto" w:fill="auto"/>
        <w:tabs>
          <w:tab w:val="left" w:leader="underscore" w:pos="4095"/>
        </w:tabs>
        <w:spacing w:before="0" w:line="240" w:lineRule="exact"/>
        <w:ind w:left="3380"/>
        <w:sectPr w:rsidR="00701D91" w:rsidSect="00F4700E">
          <w:pgSz w:w="11900" w:h="16840"/>
          <w:pgMar w:top="1134" w:right="850" w:bottom="1134" w:left="1701" w:header="0" w:footer="3" w:gutter="0"/>
          <w:cols w:space="720"/>
          <w:noEndnote/>
          <w:docGrid w:linePitch="360"/>
        </w:sectPr>
      </w:pPr>
      <w:r>
        <w:t xml:space="preserve">2016 </w:t>
      </w:r>
      <w:r w:rsidR="00E6365F">
        <w:t>год</w:t>
      </w:r>
    </w:p>
    <w:p w:rsidR="00701D91" w:rsidRDefault="00E6365F" w:rsidP="00F4700E">
      <w:pPr>
        <w:pStyle w:val="10"/>
        <w:keepNext/>
        <w:keepLines/>
        <w:shd w:val="clear" w:color="auto" w:fill="auto"/>
        <w:tabs>
          <w:tab w:val="left" w:pos="4236"/>
        </w:tabs>
        <w:spacing w:after="261" w:line="240" w:lineRule="exact"/>
        <w:ind w:left="3920"/>
      </w:pPr>
      <w:bookmarkStart w:id="1" w:name="bookmark1"/>
      <w:r>
        <w:lastRenderedPageBreak/>
        <w:t>ОБЩИЕ ПОЛОЖЕНИЯ</w:t>
      </w:r>
      <w:bookmarkEnd w:id="1"/>
    </w:p>
    <w:p w:rsidR="00701D91" w:rsidRDefault="00E6365F" w:rsidP="00F4700E">
      <w:pPr>
        <w:pStyle w:val="20"/>
        <w:numPr>
          <w:ilvl w:val="1"/>
          <w:numId w:val="1"/>
        </w:numPr>
        <w:shd w:val="clear" w:color="auto" w:fill="auto"/>
        <w:tabs>
          <w:tab w:val="left" w:pos="1393"/>
        </w:tabs>
        <w:ind w:left="180" w:firstLine="560"/>
        <w:jc w:val="both"/>
      </w:pPr>
      <w:r>
        <w:t>Настоящее Положение регулирует вопросы формирования, размещения</w:t>
      </w:r>
      <w:r w:rsidR="00F4700E">
        <w:t xml:space="preserve"> </w:t>
      </w:r>
      <w:r>
        <w:t xml:space="preserve">компенсационного фонда возмещения вреда </w:t>
      </w:r>
      <w:r w:rsidR="00F4700E">
        <w:t>СРО Ассоциация «Проектный комплекс «Нижняя Волна»</w:t>
      </w:r>
      <w:r>
        <w:t>, в том числе</w:t>
      </w:r>
      <w:r w:rsidR="00F4700E">
        <w:t xml:space="preserve"> </w:t>
      </w:r>
      <w:r>
        <w:t>порядок осуществления выплат из него.</w:t>
      </w:r>
    </w:p>
    <w:p w:rsidR="00701D91" w:rsidRDefault="00E6365F" w:rsidP="00F4700E">
      <w:pPr>
        <w:pStyle w:val="20"/>
        <w:numPr>
          <w:ilvl w:val="1"/>
          <w:numId w:val="1"/>
        </w:numPr>
        <w:shd w:val="clear" w:color="auto" w:fill="auto"/>
        <w:tabs>
          <w:tab w:val="left" w:pos="1219"/>
        </w:tabs>
        <w:ind w:left="180" w:firstLine="560"/>
        <w:jc w:val="both"/>
      </w:pPr>
      <w:r>
        <w:t>Настоящее Положение разработано в соответствии с законодательством Российской</w:t>
      </w:r>
      <w:r w:rsidR="00F4700E">
        <w:t xml:space="preserve"> </w:t>
      </w:r>
      <w:r>
        <w:t xml:space="preserve">Федерации, Уставом и внутренними документами </w:t>
      </w:r>
      <w:r w:rsidR="00F4700E">
        <w:t>СРО Ассоциация «Проектный комплекс «Нижняя Волна»</w:t>
      </w:r>
      <w:r w:rsidR="00F4700E">
        <w:t xml:space="preserve"> </w:t>
      </w:r>
      <w:r>
        <w:t xml:space="preserve"> (далее -</w:t>
      </w:r>
      <w:r w:rsidR="00F4700E">
        <w:t xml:space="preserve"> </w:t>
      </w:r>
      <w:r>
        <w:t>Ассоциация).</w:t>
      </w:r>
    </w:p>
    <w:p w:rsidR="00701D91" w:rsidRDefault="00E6365F">
      <w:pPr>
        <w:pStyle w:val="20"/>
        <w:numPr>
          <w:ilvl w:val="1"/>
          <w:numId w:val="1"/>
        </w:numPr>
        <w:shd w:val="clear" w:color="auto" w:fill="auto"/>
        <w:tabs>
          <w:tab w:val="left" w:pos="1194"/>
        </w:tabs>
        <w:ind w:firstLine="740"/>
        <w:jc w:val="both"/>
      </w:pPr>
      <w:r>
        <w:t>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701D91" w:rsidRDefault="00E6365F">
      <w:pPr>
        <w:pStyle w:val="20"/>
        <w:numPr>
          <w:ilvl w:val="1"/>
          <w:numId w:val="1"/>
        </w:numPr>
        <w:shd w:val="clear" w:color="auto" w:fill="auto"/>
        <w:tabs>
          <w:tab w:val="left" w:pos="1194"/>
        </w:tabs>
        <w:ind w:firstLine="740"/>
        <w:jc w:val="both"/>
      </w:pPr>
      <w: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701D91" w:rsidRDefault="00E6365F" w:rsidP="00F4700E">
      <w:pPr>
        <w:pStyle w:val="20"/>
        <w:numPr>
          <w:ilvl w:val="1"/>
          <w:numId w:val="1"/>
        </w:numPr>
        <w:shd w:val="clear" w:color="auto" w:fill="auto"/>
        <w:tabs>
          <w:tab w:val="left" w:pos="1221"/>
        </w:tabs>
        <w:ind w:left="180" w:firstLine="560"/>
        <w:jc w:val="both"/>
      </w:pPr>
      <w:r>
        <w:t>Учет средств компенсационного фонда возмещения вреда ведется Ассоциацией раздельно от учета иного имущества.</w:t>
      </w:r>
    </w:p>
    <w:p w:rsidR="00701D91" w:rsidRDefault="00E6365F">
      <w:pPr>
        <w:pStyle w:val="20"/>
        <w:numPr>
          <w:ilvl w:val="1"/>
          <w:numId w:val="1"/>
        </w:numPr>
        <w:shd w:val="clear" w:color="auto" w:fill="auto"/>
        <w:tabs>
          <w:tab w:val="left" w:pos="1216"/>
        </w:tabs>
        <w:spacing w:after="507"/>
        <w:ind w:left="180" w:firstLine="560"/>
        <w:jc w:val="both"/>
      </w:pPr>
      <w:r>
        <w:t>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701D91" w:rsidRDefault="00E6365F">
      <w:pPr>
        <w:pStyle w:val="10"/>
        <w:keepNext/>
        <w:keepLines/>
        <w:numPr>
          <w:ilvl w:val="0"/>
          <w:numId w:val="1"/>
        </w:numPr>
        <w:shd w:val="clear" w:color="auto" w:fill="auto"/>
        <w:tabs>
          <w:tab w:val="left" w:pos="1890"/>
        </w:tabs>
        <w:spacing w:after="0" w:line="240" w:lineRule="exact"/>
        <w:ind w:left="1560"/>
      </w:pPr>
      <w:bookmarkStart w:id="2" w:name="bookmark2"/>
      <w:r>
        <w:t>ПОРЯДОК ФОРМИРОВАНИЯ КОМПЕНСАЦИОННОГО ФОНДА</w:t>
      </w:r>
      <w:bookmarkEnd w:id="2"/>
    </w:p>
    <w:p w:rsidR="00701D91" w:rsidRDefault="00E6365F">
      <w:pPr>
        <w:pStyle w:val="10"/>
        <w:keepNext/>
        <w:keepLines/>
        <w:shd w:val="clear" w:color="auto" w:fill="auto"/>
        <w:spacing w:after="288" w:line="240" w:lineRule="exact"/>
        <w:ind w:right="60"/>
        <w:jc w:val="center"/>
      </w:pPr>
      <w:bookmarkStart w:id="3" w:name="bookmark3"/>
      <w:r>
        <w:t>ВОЗМЕЩЕНИЯ ВРЕДА</w:t>
      </w:r>
      <w:bookmarkEnd w:id="3"/>
    </w:p>
    <w:p w:rsidR="00701D91" w:rsidRDefault="00E6365F">
      <w:pPr>
        <w:pStyle w:val="20"/>
        <w:numPr>
          <w:ilvl w:val="1"/>
          <w:numId w:val="1"/>
        </w:numPr>
        <w:shd w:val="clear" w:color="auto" w:fill="auto"/>
        <w:tabs>
          <w:tab w:val="left" w:pos="1243"/>
        </w:tabs>
        <w:spacing w:after="266" w:line="240" w:lineRule="exact"/>
        <w:ind w:left="180" w:firstLine="560"/>
        <w:jc w:val="both"/>
      </w:pPr>
      <w:r>
        <w:t>Компенсационный фонд возмещения вреда формируется:</w:t>
      </w:r>
    </w:p>
    <w:p w:rsidR="00701D91" w:rsidRDefault="00E6365F" w:rsidP="00F4700E">
      <w:pPr>
        <w:pStyle w:val="20"/>
        <w:numPr>
          <w:ilvl w:val="0"/>
          <w:numId w:val="2"/>
        </w:numPr>
        <w:shd w:val="clear" w:color="auto" w:fill="auto"/>
        <w:tabs>
          <w:tab w:val="left" w:pos="1043"/>
        </w:tabs>
        <w:ind w:left="180" w:firstLine="640"/>
        <w:jc w:val="both"/>
      </w:pPr>
      <w:r>
        <w:t xml:space="preserve"> из денежных средств компенсационного фонда Ассоциации, сформированного в соответствии Градостроительным кодексом Российской Федерации (в редакции от 27.07.2010 г.),</w:t>
      </w:r>
    </w:p>
    <w:p w:rsidR="00701D91" w:rsidRDefault="00E6365F" w:rsidP="00F4700E">
      <w:pPr>
        <w:pStyle w:val="20"/>
        <w:shd w:val="clear" w:color="auto" w:fill="auto"/>
        <w:tabs>
          <w:tab w:val="left" w:pos="1043"/>
        </w:tabs>
        <w:jc w:val="both"/>
      </w:pPr>
      <w:r>
        <w:t xml:space="preserve">Положением о компенсационном фонде </w:t>
      </w:r>
      <w:r w:rsidR="00F4700E">
        <w:t>Ассоциации «</w:t>
      </w:r>
      <w:r w:rsidR="00F4700E">
        <w:tab/>
        <w:t xml:space="preserve">» СРО (в редакции </w:t>
      </w:r>
      <w:r>
        <w:t>изменениями и дополнениями от «</w:t>
      </w:r>
      <w:r>
        <w:tab/>
        <w:t xml:space="preserve">» </w:t>
      </w:r>
      <w:r>
        <w:tab/>
        <w:t xml:space="preserve"> 201</w:t>
      </w:r>
      <w:r>
        <w:tab/>
        <w:t xml:space="preserve"> г.), на основании заявлений действующих</w:t>
      </w:r>
      <w:r w:rsidR="00F4700E">
        <w:t xml:space="preserve"> </w:t>
      </w:r>
      <w:r>
        <w:t>членов Ассоциации, в которых указано, какую часть ранее внесенных взносов направить в компенсационный фонд возмещения вреда;</w:t>
      </w:r>
    </w:p>
    <w:p w:rsidR="00701D91" w:rsidRDefault="00E6365F" w:rsidP="00F4700E">
      <w:pPr>
        <w:pStyle w:val="20"/>
        <w:numPr>
          <w:ilvl w:val="0"/>
          <w:numId w:val="2"/>
        </w:numPr>
        <w:shd w:val="clear" w:color="auto" w:fill="auto"/>
        <w:tabs>
          <w:tab w:val="left" w:pos="1043"/>
        </w:tabs>
        <w:ind w:left="180" w:firstLine="640"/>
        <w:jc w:val="both"/>
      </w:pPr>
      <w:r>
        <w:t>из взносов в компенсационный фонд возмещения вреда вновь вступающих членов в Ассоциацию;</w:t>
      </w:r>
    </w:p>
    <w:p w:rsidR="00701D91" w:rsidRDefault="00E6365F" w:rsidP="00F4700E">
      <w:pPr>
        <w:pStyle w:val="20"/>
        <w:numPr>
          <w:ilvl w:val="0"/>
          <w:numId w:val="2"/>
        </w:numPr>
        <w:shd w:val="clear" w:color="auto" w:fill="auto"/>
        <w:tabs>
          <w:tab w:val="left" w:pos="985"/>
        </w:tabs>
        <w:ind w:left="180" w:firstLine="560"/>
        <w:jc w:val="both"/>
      </w:pPr>
      <w:r>
        <w:t>из взносов в компенсационный фонд возмещения вреда членов Ассоциации при увеличении уровня ответственности по обязательствам;</w:t>
      </w:r>
    </w:p>
    <w:p w:rsidR="00701D91" w:rsidRDefault="00E6365F" w:rsidP="00F4700E">
      <w:pPr>
        <w:pStyle w:val="20"/>
        <w:numPr>
          <w:ilvl w:val="0"/>
          <w:numId w:val="2"/>
        </w:numPr>
        <w:shd w:val="clear" w:color="auto" w:fill="auto"/>
        <w:tabs>
          <w:tab w:val="left" w:pos="978"/>
        </w:tabs>
        <w:ind w:left="180" w:firstLine="560"/>
        <w:jc w:val="both"/>
      </w:pPr>
      <w:r>
        <w:t>из доходов, полученных от размещения (инвестирования) средств компенсационного фонда Ассоциации.</w:t>
      </w:r>
    </w:p>
    <w:p w:rsidR="00701D91" w:rsidRDefault="00E6365F" w:rsidP="00F4700E">
      <w:pPr>
        <w:pStyle w:val="20"/>
        <w:numPr>
          <w:ilvl w:val="1"/>
          <w:numId w:val="1"/>
        </w:numPr>
        <w:shd w:val="clear" w:color="auto" w:fill="auto"/>
        <w:tabs>
          <w:tab w:val="left" w:pos="1254"/>
        </w:tabs>
        <w:ind w:left="180" w:firstLine="560"/>
        <w:jc w:val="both"/>
      </w:pPr>
      <w:r>
        <w:t xml:space="preserve">При вступлении нового члена в состав членов Ассоциации он обязан </w:t>
      </w:r>
      <w:r w:rsidR="00F4700E">
        <w:t>не позднее</w:t>
      </w:r>
      <w:r>
        <w:t xml:space="preserve"> 7 (семи) рабочих дней со дня получения уведомления о принятии его в состав членов Ассоциации уплатить взнос в компенсационный фонд возмещения вреда.</w:t>
      </w:r>
    </w:p>
    <w:p w:rsidR="00701D91" w:rsidRDefault="00E6365F" w:rsidP="00F4700E">
      <w:pPr>
        <w:pStyle w:val="20"/>
        <w:numPr>
          <w:ilvl w:val="1"/>
          <w:numId w:val="1"/>
        </w:numPr>
        <w:shd w:val="clear" w:color="auto" w:fill="auto"/>
        <w:tabs>
          <w:tab w:val="left" w:pos="1245"/>
        </w:tabs>
        <w:ind w:left="180" w:firstLine="560"/>
        <w:jc w:val="both"/>
      </w:pPr>
      <w:r>
        <w:t>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w:t>
      </w:r>
    </w:p>
    <w:p w:rsidR="00701D91" w:rsidRDefault="00E6365F" w:rsidP="00F4700E">
      <w:pPr>
        <w:pStyle w:val="20"/>
        <w:numPr>
          <w:ilvl w:val="1"/>
          <w:numId w:val="1"/>
        </w:numPr>
        <w:shd w:val="clear" w:color="auto" w:fill="auto"/>
        <w:tabs>
          <w:tab w:val="left" w:pos="1249"/>
        </w:tabs>
        <w:ind w:left="180" w:firstLine="560"/>
        <w:jc w:val="both"/>
      </w:pPr>
      <w:r>
        <w:t>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w:t>
      </w:r>
      <w:r w:rsidR="00F4700E">
        <w:t xml:space="preserve"> </w:t>
      </w:r>
      <w:r>
        <w:t xml:space="preserve">также уплата взноса третьими лицами, не являющимися членами Ассоциации, за исключением случая, </w:t>
      </w:r>
      <w:r>
        <w:lastRenderedPageBreak/>
        <w:t>установленного частью 16 статьи 55.16 Градостроительного Кодекса Российской Федерации.</w:t>
      </w:r>
    </w:p>
    <w:p w:rsidR="00701D91" w:rsidRDefault="00E6365F">
      <w:pPr>
        <w:pStyle w:val="20"/>
        <w:numPr>
          <w:ilvl w:val="1"/>
          <w:numId w:val="1"/>
        </w:numPr>
        <w:shd w:val="clear" w:color="auto" w:fill="auto"/>
        <w:tabs>
          <w:tab w:val="left" w:pos="1042"/>
        </w:tabs>
        <w:ind w:firstLine="600"/>
        <w:jc w:val="both"/>
      </w:pPr>
      <w:r>
        <w:t>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rsidR="00701D91" w:rsidRDefault="00E6365F">
      <w:pPr>
        <w:pStyle w:val="20"/>
        <w:numPr>
          <w:ilvl w:val="0"/>
          <w:numId w:val="3"/>
        </w:numPr>
        <w:shd w:val="clear" w:color="auto" w:fill="auto"/>
        <w:tabs>
          <w:tab w:val="left" w:pos="898"/>
        </w:tabs>
        <w:ind w:firstLine="600"/>
        <w:jc w:val="both"/>
      </w:pPr>
      <w:r>
        <w:t>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01D91" w:rsidRDefault="00E6365F">
      <w:pPr>
        <w:pStyle w:val="20"/>
        <w:numPr>
          <w:ilvl w:val="0"/>
          <w:numId w:val="3"/>
        </w:numPr>
        <w:shd w:val="clear" w:color="auto" w:fill="auto"/>
        <w:tabs>
          <w:tab w:val="left" w:pos="894"/>
        </w:tabs>
        <w:ind w:firstLine="600"/>
        <w:jc w:val="both"/>
      </w:pPr>
      <w:r>
        <w:t>сто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01D91" w:rsidRDefault="00E6365F">
      <w:pPr>
        <w:pStyle w:val="20"/>
        <w:numPr>
          <w:ilvl w:val="0"/>
          <w:numId w:val="3"/>
        </w:numPr>
        <w:shd w:val="clear" w:color="auto" w:fill="auto"/>
        <w:tabs>
          <w:tab w:val="left" w:pos="894"/>
        </w:tabs>
        <w:ind w:firstLine="600"/>
        <w:jc w:val="both"/>
      </w:pPr>
      <w:r>
        <w:t>пятьсот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01D91" w:rsidRDefault="00E6365F">
      <w:pPr>
        <w:pStyle w:val="20"/>
        <w:numPr>
          <w:ilvl w:val="0"/>
          <w:numId w:val="3"/>
        </w:numPr>
        <w:shd w:val="clear" w:color="auto" w:fill="auto"/>
        <w:tabs>
          <w:tab w:val="left" w:pos="898"/>
        </w:tabs>
        <w:ind w:firstLine="600"/>
        <w:jc w:val="both"/>
      </w:pPr>
      <w:r>
        <w:t>один миллион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01D91" w:rsidRDefault="00E6365F">
      <w:pPr>
        <w:pStyle w:val="20"/>
        <w:numPr>
          <w:ilvl w:val="1"/>
          <w:numId w:val="1"/>
        </w:numPr>
        <w:shd w:val="clear" w:color="auto" w:fill="auto"/>
        <w:tabs>
          <w:tab w:val="left" w:pos="1042"/>
        </w:tabs>
        <w:ind w:firstLine="600"/>
        <w:jc w:val="both"/>
      </w:pPr>
      <w:r>
        <w:t>Перечисление взносов в компенсационный фонд возмещения вреда осуществляется на расчетный счет Ассоциации, с назначением платежа - «взнос в компенсационный фонд возмещения вреда».</w:t>
      </w:r>
    </w:p>
    <w:p w:rsidR="00701D91" w:rsidRDefault="00E6365F" w:rsidP="00F4700E">
      <w:pPr>
        <w:pStyle w:val="20"/>
        <w:numPr>
          <w:ilvl w:val="1"/>
          <w:numId w:val="1"/>
        </w:numPr>
        <w:shd w:val="clear" w:color="auto" w:fill="auto"/>
        <w:tabs>
          <w:tab w:val="left" w:pos="1038"/>
        </w:tabs>
        <w:ind w:right="180" w:firstLine="600"/>
        <w:jc w:val="both"/>
      </w:pPr>
      <w:r>
        <w:t>Член Ассоциации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2.5. настоящего Положения, самостоятельно вносит</w:t>
      </w:r>
      <w:r w:rsidR="00F4700E">
        <w:t xml:space="preserve"> </w:t>
      </w:r>
      <w:r>
        <w:t xml:space="preserve">дополнительный взнос в компенсационный фонд возмещения вреда, о чем в течение </w:t>
      </w:r>
      <w:r w:rsidR="00F4700E">
        <w:t xml:space="preserve">5 </w:t>
      </w:r>
      <w:r>
        <w:t>дней с момента уплаты такого взноса уведомляет Ассоциацию.</w:t>
      </w:r>
    </w:p>
    <w:p w:rsidR="00701D91" w:rsidRDefault="00E6365F" w:rsidP="00F4700E">
      <w:pPr>
        <w:pStyle w:val="20"/>
        <w:shd w:val="clear" w:color="auto" w:fill="auto"/>
        <w:ind w:right="180" w:firstLine="600"/>
        <w:jc w:val="both"/>
      </w:pPr>
      <w:r>
        <w:t>В случае, если установлено, что член Ассоциации выполняет (выполнял) работы по подготовке проектной документации, стоимость которых по договору превышает стоимость, исходя из которой членом Ассоциации был уплачен взнос в компенсационный фонд</w:t>
      </w:r>
      <w:r w:rsidR="00F4700E">
        <w:t xml:space="preserve"> </w:t>
      </w:r>
      <w:r>
        <w:t xml:space="preserve">возмещения вреда, то такой член Ассоциации в течение </w:t>
      </w:r>
      <w:r>
        <w:tab/>
        <w:t xml:space="preserve"> дней уплачивает</w:t>
      </w:r>
    </w:p>
    <w:p w:rsidR="00701D91" w:rsidRDefault="00E6365F">
      <w:pPr>
        <w:pStyle w:val="20"/>
        <w:shd w:val="clear" w:color="auto" w:fill="auto"/>
        <w:spacing w:after="236"/>
        <w:ind w:right="180"/>
        <w:jc w:val="both"/>
      </w:pPr>
      <w:r>
        <w:t>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 по договору.</w:t>
      </w:r>
    </w:p>
    <w:p w:rsidR="00701D91" w:rsidRDefault="00E6365F">
      <w:pPr>
        <w:pStyle w:val="20"/>
        <w:numPr>
          <w:ilvl w:val="1"/>
          <w:numId w:val="1"/>
        </w:numPr>
        <w:shd w:val="clear" w:color="auto" w:fill="auto"/>
        <w:tabs>
          <w:tab w:val="left" w:pos="1123"/>
        </w:tabs>
        <w:spacing w:after="511" w:line="278" w:lineRule="exact"/>
        <w:ind w:firstLine="600"/>
        <w:jc w:val="both"/>
      </w:pPr>
      <w:r>
        <w:t>Лицу, прекратившему членство в Ассоциации,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701D91" w:rsidRDefault="00E6365F">
      <w:pPr>
        <w:pStyle w:val="10"/>
        <w:keepNext/>
        <w:keepLines/>
        <w:numPr>
          <w:ilvl w:val="0"/>
          <w:numId w:val="1"/>
        </w:numPr>
        <w:shd w:val="clear" w:color="auto" w:fill="auto"/>
        <w:tabs>
          <w:tab w:val="left" w:pos="1143"/>
        </w:tabs>
        <w:spacing w:after="206" w:line="240" w:lineRule="exact"/>
        <w:ind w:left="840"/>
      </w:pPr>
      <w:bookmarkStart w:id="4" w:name="bookmark4"/>
      <w:r>
        <w:t>РАЗМЕЩЕНИЕ КОМПЕНСАЦИОННОГО ФОНДА ВОЗМЕЩЕНИЯ ВРЕДА</w:t>
      </w:r>
      <w:bookmarkEnd w:id="4"/>
    </w:p>
    <w:p w:rsidR="00701D91" w:rsidRDefault="00E6365F" w:rsidP="00F4700E">
      <w:pPr>
        <w:pStyle w:val="20"/>
        <w:numPr>
          <w:ilvl w:val="1"/>
          <w:numId w:val="1"/>
        </w:numPr>
        <w:shd w:val="clear" w:color="auto" w:fill="auto"/>
        <w:tabs>
          <w:tab w:val="left" w:pos="1123"/>
        </w:tabs>
        <w:ind w:firstLine="600"/>
        <w:jc w:val="both"/>
      </w:pPr>
      <w:r>
        <w:t>Средства компенсационного фонда возмещения вреда Ассоциации размещаются на</w:t>
      </w:r>
      <w:r w:rsidR="00F4700E">
        <w:t xml:space="preserve"> </w:t>
      </w:r>
      <w:r>
        <w:t>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Решение о размещении средств компенсационного фонда на специальном банковском счете принимает</w:t>
      </w:r>
      <w:r w:rsidR="00F4700E">
        <w:rPr>
          <w:rStyle w:val="21"/>
        </w:rPr>
        <w:t xml:space="preserve"> </w:t>
      </w:r>
      <w:r w:rsidR="00F4700E">
        <w:rPr>
          <w:rStyle w:val="21"/>
          <w:i w:val="0"/>
        </w:rPr>
        <w:t>Общее собрание Ассоциации</w:t>
      </w:r>
      <w:r>
        <w:rPr>
          <w:rStyle w:val="21"/>
        </w:rPr>
        <w:t>.</w:t>
      </w:r>
    </w:p>
    <w:p w:rsidR="00701D91" w:rsidRDefault="00E6365F" w:rsidP="00F4700E">
      <w:pPr>
        <w:pStyle w:val="20"/>
        <w:numPr>
          <w:ilvl w:val="1"/>
          <w:numId w:val="1"/>
        </w:numPr>
        <w:shd w:val="clear" w:color="auto" w:fill="auto"/>
        <w:tabs>
          <w:tab w:val="left" w:pos="1123"/>
        </w:tabs>
        <w:ind w:firstLine="600"/>
        <w:jc w:val="both"/>
      </w:pPr>
      <w:r>
        <w:t>Кредитная организация, указанная в п.3.1,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w:t>
      </w:r>
      <w:r w:rsidR="00F4700E">
        <w:t xml:space="preserve"> </w:t>
      </w:r>
      <w:r>
        <w:t>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701D91" w:rsidRDefault="00E6365F">
      <w:pPr>
        <w:pStyle w:val="20"/>
        <w:numPr>
          <w:ilvl w:val="1"/>
          <w:numId w:val="1"/>
        </w:numPr>
        <w:shd w:val="clear" w:color="auto" w:fill="auto"/>
        <w:tabs>
          <w:tab w:val="left" w:pos="1018"/>
        </w:tabs>
        <w:ind w:firstLine="580"/>
        <w:jc w:val="both"/>
      </w:pPr>
      <w:r>
        <w:lastRenderedPageBreak/>
        <w:t>Средства компенсационного фонда возмещения вреда, внесенные на специальный банковский счет, используются на цели и в случаях, которые указаны в части 4 статьи 55.16 Градостроительного кодекса Российской Федерации.</w:t>
      </w:r>
    </w:p>
    <w:p w:rsidR="00701D91" w:rsidRDefault="00E6365F">
      <w:pPr>
        <w:pStyle w:val="20"/>
        <w:numPr>
          <w:ilvl w:val="1"/>
          <w:numId w:val="1"/>
        </w:numPr>
        <w:shd w:val="clear" w:color="auto" w:fill="auto"/>
        <w:tabs>
          <w:tab w:val="left" w:pos="1018"/>
        </w:tabs>
        <w:ind w:firstLine="580"/>
        <w:jc w:val="both"/>
      </w:pPr>
      <w:r>
        <w:t>Права на средства компенсационного фонда возмещения вреда,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rsidR="00701D91" w:rsidRDefault="00E6365F">
      <w:pPr>
        <w:pStyle w:val="20"/>
        <w:numPr>
          <w:ilvl w:val="1"/>
          <w:numId w:val="1"/>
        </w:numPr>
        <w:shd w:val="clear" w:color="auto" w:fill="auto"/>
        <w:tabs>
          <w:tab w:val="left" w:pos="1018"/>
        </w:tabs>
        <w:ind w:firstLine="580"/>
        <w:jc w:val="both"/>
      </w:pPr>
      <w: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Ассоциации, об остатке средств на специальном счете (счетах), а также о средствах компенсационного фонда возмещения вреда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701D91" w:rsidRDefault="00E6365F">
      <w:pPr>
        <w:pStyle w:val="20"/>
        <w:numPr>
          <w:ilvl w:val="1"/>
          <w:numId w:val="1"/>
        </w:numPr>
        <w:shd w:val="clear" w:color="auto" w:fill="auto"/>
        <w:tabs>
          <w:tab w:val="left" w:pos="1018"/>
        </w:tabs>
        <w:ind w:firstLine="580"/>
        <w:jc w:val="both"/>
      </w:pPr>
      <w: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и.3.8. настоящего положения.</w:t>
      </w:r>
    </w:p>
    <w:p w:rsidR="00701D91" w:rsidRDefault="00E6365F">
      <w:pPr>
        <w:pStyle w:val="20"/>
        <w:numPr>
          <w:ilvl w:val="1"/>
          <w:numId w:val="1"/>
        </w:numPr>
        <w:shd w:val="clear" w:color="auto" w:fill="auto"/>
        <w:tabs>
          <w:tab w:val="left" w:pos="1016"/>
        </w:tabs>
        <w:ind w:firstLine="580"/>
        <w:jc w:val="both"/>
      </w:pPr>
      <w:r>
        <w:t>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01D91" w:rsidRDefault="00E6365F">
      <w:pPr>
        <w:pStyle w:val="20"/>
        <w:numPr>
          <w:ilvl w:val="1"/>
          <w:numId w:val="1"/>
        </w:numPr>
        <w:shd w:val="clear" w:color="auto" w:fill="auto"/>
        <w:tabs>
          <w:tab w:val="left" w:pos="1016"/>
        </w:tabs>
        <w:spacing w:after="507"/>
        <w:ind w:firstLine="580"/>
        <w:jc w:val="both"/>
      </w:pPr>
      <w:r>
        <w:t>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701D91" w:rsidRDefault="00E6365F">
      <w:pPr>
        <w:pStyle w:val="10"/>
        <w:keepNext/>
        <w:keepLines/>
        <w:numPr>
          <w:ilvl w:val="0"/>
          <w:numId w:val="1"/>
        </w:numPr>
        <w:shd w:val="clear" w:color="auto" w:fill="auto"/>
        <w:tabs>
          <w:tab w:val="left" w:pos="1018"/>
        </w:tabs>
        <w:spacing w:after="0" w:line="240" w:lineRule="exact"/>
        <w:ind w:left="720"/>
      </w:pPr>
      <w:bookmarkStart w:id="5" w:name="bookmark5"/>
      <w:r>
        <w:t>ВЫПЛАТЫ ИЗ СРЕДСТВ КОМПЕНСАЦИОННОГО ФОНДА ВОЗМЕЩЕНИЯ</w:t>
      </w:r>
      <w:bookmarkEnd w:id="5"/>
    </w:p>
    <w:p w:rsidR="00701D91" w:rsidRDefault="00E6365F">
      <w:pPr>
        <w:pStyle w:val="10"/>
        <w:keepNext/>
        <w:keepLines/>
        <w:shd w:val="clear" w:color="auto" w:fill="auto"/>
        <w:spacing w:after="251" w:line="240" w:lineRule="exact"/>
        <w:jc w:val="center"/>
      </w:pPr>
      <w:bookmarkStart w:id="6" w:name="bookmark6"/>
      <w:r>
        <w:t>ВРЕДА</w:t>
      </w:r>
      <w:bookmarkEnd w:id="6"/>
    </w:p>
    <w:p w:rsidR="00701D91" w:rsidRDefault="00E6365F">
      <w:pPr>
        <w:pStyle w:val="20"/>
        <w:numPr>
          <w:ilvl w:val="1"/>
          <w:numId w:val="1"/>
        </w:numPr>
        <w:shd w:val="clear" w:color="auto" w:fill="auto"/>
        <w:tabs>
          <w:tab w:val="left" w:pos="1016"/>
        </w:tabs>
        <w:ind w:firstLine="580"/>
        <w:jc w:val="both"/>
      </w:pPr>
      <w:r>
        <w:t>Не допускается перечисление кредитной организацией средств компенсационного фонда возмещения вреда, за исключением случаев, предусмотренных 191-ФЗ «О введении в действие Градостроительного кодекса Российской Федерации», и следующих случаев:</w:t>
      </w:r>
    </w:p>
    <w:p w:rsidR="00701D91" w:rsidRDefault="00E6365F">
      <w:pPr>
        <w:pStyle w:val="20"/>
        <w:numPr>
          <w:ilvl w:val="2"/>
          <w:numId w:val="1"/>
        </w:numPr>
        <w:shd w:val="clear" w:color="auto" w:fill="auto"/>
        <w:tabs>
          <w:tab w:val="left" w:pos="1234"/>
        </w:tabs>
        <w:ind w:firstLine="580"/>
        <w:jc w:val="both"/>
      </w:pPr>
      <w:r>
        <w:t>возврат ошибочно перечисленных средств;</w:t>
      </w:r>
    </w:p>
    <w:p w:rsidR="00701D91" w:rsidRDefault="00E6365F">
      <w:pPr>
        <w:pStyle w:val="20"/>
        <w:numPr>
          <w:ilvl w:val="2"/>
          <w:numId w:val="1"/>
        </w:numPr>
        <w:shd w:val="clear" w:color="auto" w:fill="auto"/>
        <w:tabs>
          <w:tab w:val="left" w:pos="1186"/>
        </w:tabs>
        <w:ind w:firstLine="580"/>
        <w:jc w:val="both"/>
      </w:pPr>
      <w:r>
        <w:t>размещение и (или) инвестирование средств компенсационного фонда возмещения вреда в целях их сохранения и увеличения их размера;</w:t>
      </w:r>
    </w:p>
    <w:p w:rsidR="00701D91" w:rsidRDefault="00E6365F">
      <w:pPr>
        <w:pStyle w:val="20"/>
        <w:numPr>
          <w:ilvl w:val="2"/>
          <w:numId w:val="1"/>
        </w:numPr>
        <w:shd w:val="clear" w:color="auto" w:fill="auto"/>
        <w:tabs>
          <w:tab w:val="left" w:pos="1191"/>
        </w:tabs>
        <w:ind w:firstLine="580"/>
        <w:jc w:val="both"/>
      </w:pPr>
      <w:r>
        <w:t>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701D91" w:rsidRDefault="00E6365F">
      <w:pPr>
        <w:pStyle w:val="20"/>
        <w:numPr>
          <w:ilvl w:val="2"/>
          <w:numId w:val="1"/>
        </w:numPr>
        <w:shd w:val="clear" w:color="auto" w:fill="auto"/>
        <w:tabs>
          <w:tab w:val="left" w:pos="1191"/>
        </w:tabs>
        <w:ind w:firstLine="580"/>
        <w:jc w:val="both"/>
      </w:pPr>
      <w: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01D91" w:rsidRDefault="00E6365F">
      <w:pPr>
        <w:pStyle w:val="20"/>
        <w:numPr>
          <w:ilvl w:val="2"/>
          <w:numId w:val="1"/>
        </w:numPr>
        <w:shd w:val="clear" w:color="auto" w:fill="auto"/>
        <w:tabs>
          <w:tab w:val="left" w:pos="1230"/>
        </w:tabs>
        <w:ind w:firstLine="600"/>
        <w:jc w:val="both"/>
      </w:pPr>
      <w:r>
        <w:t xml:space="preserve">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 </w:t>
      </w:r>
      <w:r>
        <w:lastRenderedPageBreak/>
        <w:t>введении в действие Градостроительного кодекса Российской Федерации.</w:t>
      </w:r>
    </w:p>
    <w:p w:rsidR="00701D91" w:rsidRDefault="00E6365F">
      <w:pPr>
        <w:pStyle w:val="20"/>
        <w:numPr>
          <w:ilvl w:val="1"/>
          <w:numId w:val="1"/>
        </w:numPr>
        <w:shd w:val="clear" w:color="auto" w:fill="auto"/>
        <w:tabs>
          <w:tab w:val="left" w:pos="1139"/>
        </w:tabs>
        <w:ind w:firstLine="600"/>
        <w:jc w:val="both"/>
      </w:pPr>
      <w:r>
        <w:t>Решение о выплате из средств компенсационного фонда возмещения вреда в случаях,</w:t>
      </w:r>
    </w:p>
    <w:p w:rsidR="00701D91" w:rsidRDefault="00E6365F" w:rsidP="00F4700E">
      <w:pPr>
        <w:pStyle w:val="20"/>
        <w:shd w:val="clear" w:color="auto" w:fill="auto"/>
        <w:tabs>
          <w:tab w:val="left" w:leader="underscore" w:pos="8222"/>
        </w:tabs>
        <w:jc w:val="both"/>
      </w:pPr>
      <w:r>
        <w:t xml:space="preserve">предусмотренных настоящим Положением, принимается </w:t>
      </w:r>
      <w:r w:rsidR="00F4700E">
        <w:t>Коллегией Ассоциации</w:t>
      </w:r>
      <w:r>
        <w:t>.</w:t>
      </w:r>
    </w:p>
    <w:p w:rsidR="00701D91" w:rsidRDefault="00E6365F">
      <w:pPr>
        <w:pStyle w:val="20"/>
        <w:numPr>
          <w:ilvl w:val="1"/>
          <w:numId w:val="1"/>
        </w:numPr>
        <w:shd w:val="clear" w:color="auto" w:fill="auto"/>
        <w:tabs>
          <w:tab w:val="left" w:pos="1139"/>
        </w:tabs>
        <w:ind w:firstLine="600"/>
        <w:jc w:val="both"/>
      </w:pPr>
      <w:r>
        <w:t>Решение об осуществлении выплаты из средств компенсационного фонда возмещения вреда в соответствии с п.4.1.1,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w:t>
      </w:r>
    </w:p>
    <w:p w:rsidR="00701D91" w:rsidRDefault="00E6365F">
      <w:pPr>
        <w:pStyle w:val="20"/>
        <w:numPr>
          <w:ilvl w:val="1"/>
          <w:numId w:val="1"/>
        </w:numPr>
        <w:shd w:val="clear" w:color="auto" w:fill="auto"/>
        <w:tabs>
          <w:tab w:val="left" w:pos="1139"/>
        </w:tabs>
        <w:ind w:firstLine="600"/>
        <w:jc w:val="both"/>
      </w:pPr>
      <w:r>
        <w:t>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наличии причинения вреда заявителю вследствие недостатков работ по подготовке проектной документации, выполненных членом Ассоциации.</w:t>
      </w:r>
    </w:p>
    <w:p w:rsidR="00701D91" w:rsidRPr="00F4700E" w:rsidRDefault="00E6365F" w:rsidP="00F4700E">
      <w:pPr>
        <w:pStyle w:val="20"/>
        <w:numPr>
          <w:ilvl w:val="1"/>
          <w:numId w:val="1"/>
        </w:numPr>
        <w:shd w:val="clear" w:color="auto" w:fill="auto"/>
        <w:tabs>
          <w:tab w:val="left" w:pos="1139"/>
          <w:tab w:val="left" w:leader="underscore" w:pos="5486"/>
        </w:tabs>
        <w:ind w:firstLine="600"/>
        <w:jc w:val="both"/>
      </w:pPr>
      <w:r>
        <w:t xml:space="preserve">Для получения денежных средств из компенсационного </w:t>
      </w:r>
      <w:r w:rsidRPr="00F4700E">
        <w:t>фонда возмещения вреда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w:t>
      </w:r>
      <w:r w:rsidR="00F4700E" w:rsidRPr="00F4700E">
        <w:t xml:space="preserve"> </w:t>
      </w:r>
      <w:r w:rsidRPr="00F4700E">
        <w:rPr>
          <w:rStyle w:val="51"/>
          <w:i w:val="0"/>
        </w:rPr>
        <w:t xml:space="preserve">возмещения вреда, обращается в </w:t>
      </w:r>
      <w:r w:rsidR="00F4700E" w:rsidRPr="00F4700E">
        <w:rPr>
          <w:rStyle w:val="51"/>
          <w:i w:val="0"/>
        </w:rPr>
        <w:t>Коллегию Ассоциации</w:t>
      </w:r>
      <w:r w:rsidRPr="00F4700E">
        <w:rPr>
          <w:i/>
        </w:rPr>
        <w:t xml:space="preserve"> </w:t>
      </w:r>
      <w:r w:rsidRPr="00F4700E">
        <w:t>с заявлением</w:t>
      </w:r>
      <w:r w:rsidRPr="00F4700E">
        <w:rPr>
          <w:i/>
        </w:rPr>
        <w:t xml:space="preserve"> </w:t>
      </w:r>
      <w:r w:rsidRPr="00F4700E">
        <w:t>о возмещении указанного</w:t>
      </w:r>
      <w:r w:rsidRPr="00F4700E">
        <w:rPr>
          <w:i/>
        </w:rPr>
        <w:t xml:space="preserve"> </w:t>
      </w:r>
      <w:r w:rsidRPr="00F4700E">
        <w:t>вреда, составленным в письменной форме</w:t>
      </w:r>
      <w:r w:rsidRPr="00F4700E">
        <w:rPr>
          <w:i/>
        </w:rPr>
        <w:t xml:space="preserve">. </w:t>
      </w:r>
      <w:r w:rsidRPr="00F4700E">
        <w:t>Указанное заявление и иные документы подаются по месту нахождения Ассоциации.</w:t>
      </w:r>
    </w:p>
    <w:p w:rsidR="00701D91" w:rsidRDefault="00E6365F">
      <w:pPr>
        <w:pStyle w:val="20"/>
        <w:numPr>
          <w:ilvl w:val="1"/>
          <w:numId w:val="1"/>
        </w:numPr>
        <w:shd w:val="clear" w:color="auto" w:fill="auto"/>
        <w:tabs>
          <w:tab w:val="left" w:pos="1139"/>
        </w:tabs>
        <w:ind w:firstLine="600"/>
        <w:jc w:val="both"/>
      </w:pPr>
      <w:r>
        <w:t>В заявлении указывается:</w:t>
      </w:r>
    </w:p>
    <w:p w:rsidR="00701D91" w:rsidRDefault="00E6365F">
      <w:pPr>
        <w:pStyle w:val="20"/>
        <w:numPr>
          <w:ilvl w:val="2"/>
          <w:numId w:val="1"/>
        </w:numPr>
        <w:shd w:val="clear" w:color="auto" w:fill="auto"/>
        <w:tabs>
          <w:tab w:val="left" w:pos="1287"/>
        </w:tabs>
        <w:ind w:firstLine="600"/>
        <w:jc w:val="both"/>
      </w:pPr>
      <w:r>
        <w:t>дата составления заявления;</w:t>
      </w:r>
    </w:p>
    <w:p w:rsidR="00701D91" w:rsidRDefault="00E6365F">
      <w:pPr>
        <w:pStyle w:val="20"/>
        <w:numPr>
          <w:ilvl w:val="2"/>
          <w:numId w:val="1"/>
        </w:numPr>
        <w:shd w:val="clear" w:color="auto" w:fill="auto"/>
        <w:tabs>
          <w:tab w:val="left" w:pos="1287"/>
        </w:tabs>
        <w:ind w:firstLine="600"/>
        <w:jc w:val="both"/>
      </w:pPr>
      <w:r>
        <w:t>наименование Ассоциации,;</w:t>
      </w:r>
    </w:p>
    <w:p w:rsidR="00701D91" w:rsidRDefault="00E6365F">
      <w:pPr>
        <w:pStyle w:val="20"/>
        <w:numPr>
          <w:ilvl w:val="2"/>
          <w:numId w:val="1"/>
        </w:numPr>
        <w:shd w:val="clear" w:color="auto" w:fill="auto"/>
        <w:tabs>
          <w:tab w:val="left" w:pos="1287"/>
        </w:tabs>
        <w:ind w:firstLine="600"/>
        <w:jc w:val="both"/>
      </w:pPr>
      <w:r>
        <w:t>сведения о заявителе, позволяющие его идентифицировать;</w:t>
      </w:r>
    </w:p>
    <w:p w:rsidR="00701D91" w:rsidRDefault="00E6365F">
      <w:pPr>
        <w:pStyle w:val="20"/>
        <w:numPr>
          <w:ilvl w:val="2"/>
          <w:numId w:val="1"/>
        </w:numPr>
        <w:shd w:val="clear" w:color="auto" w:fill="auto"/>
        <w:tabs>
          <w:tab w:val="left" w:pos="1220"/>
        </w:tabs>
        <w:ind w:firstLine="600"/>
        <w:jc w:val="both"/>
      </w:pPr>
      <w:r>
        <w:t>наименование банка и расчетный счет заявителя для перечисления денежных средств из компенсационного фонда возмещения вреда;</w:t>
      </w:r>
    </w:p>
    <w:p w:rsidR="00701D91" w:rsidRDefault="00E6365F">
      <w:pPr>
        <w:pStyle w:val="20"/>
        <w:numPr>
          <w:ilvl w:val="2"/>
          <w:numId w:val="1"/>
        </w:numPr>
        <w:shd w:val="clear" w:color="auto" w:fill="auto"/>
        <w:tabs>
          <w:tab w:val="left" w:pos="1225"/>
        </w:tabs>
        <w:ind w:firstLine="600"/>
        <w:jc w:val="both"/>
      </w:pPr>
      <w:r>
        <w:t>документ, подтверждающий основание для осуществления выплаты (например, решение соответствующего суда с указанием реквизитов такого решения и др.);</w:t>
      </w:r>
    </w:p>
    <w:p w:rsidR="00701D91" w:rsidRDefault="00E6365F">
      <w:pPr>
        <w:pStyle w:val="20"/>
        <w:numPr>
          <w:ilvl w:val="2"/>
          <w:numId w:val="1"/>
        </w:numPr>
        <w:shd w:val="clear" w:color="auto" w:fill="auto"/>
        <w:tabs>
          <w:tab w:val="left" w:pos="1220"/>
        </w:tabs>
        <w:ind w:firstLine="600"/>
        <w:jc w:val="both"/>
      </w:pPr>
      <w:r>
        <w:t>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w:t>
      </w:r>
    </w:p>
    <w:p w:rsidR="00701D91" w:rsidRDefault="00E6365F">
      <w:pPr>
        <w:pStyle w:val="20"/>
        <w:numPr>
          <w:ilvl w:val="1"/>
          <w:numId w:val="1"/>
        </w:numPr>
        <w:shd w:val="clear" w:color="auto" w:fill="auto"/>
        <w:tabs>
          <w:tab w:val="left" w:pos="1139"/>
        </w:tabs>
        <w:ind w:firstLine="600"/>
        <w:jc w:val="both"/>
      </w:pPr>
      <w:r>
        <w:t>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w:t>
      </w:r>
    </w:p>
    <w:p w:rsidR="00701D91" w:rsidRDefault="00E6365F">
      <w:pPr>
        <w:pStyle w:val="20"/>
        <w:numPr>
          <w:ilvl w:val="1"/>
          <w:numId w:val="1"/>
        </w:numPr>
        <w:shd w:val="clear" w:color="auto" w:fill="auto"/>
        <w:tabs>
          <w:tab w:val="left" w:pos="1139"/>
        </w:tabs>
        <w:ind w:firstLine="600"/>
        <w:jc w:val="both"/>
      </w:pPr>
      <w:r>
        <w:t>К заявлению прилагаются следующие документы:</w:t>
      </w:r>
    </w:p>
    <w:p w:rsidR="00701D91" w:rsidRDefault="00E6365F">
      <w:pPr>
        <w:pStyle w:val="20"/>
        <w:numPr>
          <w:ilvl w:val="2"/>
          <w:numId w:val="1"/>
        </w:numPr>
        <w:shd w:val="clear" w:color="auto" w:fill="auto"/>
        <w:tabs>
          <w:tab w:val="left" w:pos="1225"/>
        </w:tabs>
        <w:ind w:firstLine="600"/>
        <w:jc w:val="both"/>
      </w:pPr>
      <w:r>
        <w:t>доверенность (копия доверенности, заверенная в том же порядке, в каком выдана доверенность) в необходимых случаях;</w:t>
      </w:r>
    </w:p>
    <w:p w:rsidR="00701D91" w:rsidRDefault="00E6365F">
      <w:pPr>
        <w:pStyle w:val="20"/>
        <w:numPr>
          <w:ilvl w:val="2"/>
          <w:numId w:val="1"/>
        </w:numPr>
        <w:shd w:val="clear" w:color="auto" w:fill="auto"/>
        <w:tabs>
          <w:tab w:val="left" w:pos="1220"/>
        </w:tabs>
        <w:ind w:firstLine="600"/>
        <w:jc w:val="both"/>
      </w:pPr>
      <w:r>
        <w:t>выписка из единого государственного реестра юридических лиц, единого государственного реестра индивидуальных предпринимателей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701D91" w:rsidRDefault="00E6365F">
      <w:pPr>
        <w:pStyle w:val="20"/>
        <w:numPr>
          <w:ilvl w:val="2"/>
          <w:numId w:val="1"/>
        </w:numPr>
        <w:shd w:val="clear" w:color="auto" w:fill="auto"/>
        <w:tabs>
          <w:tab w:val="left" w:pos="1283"/>
        </w:tabs>
        <w:ind w:firstLine="600"/>
        <w:jc w:val="both"/>
      </w:pPr>
      <w:r>
        <w:t>выписка из единого государственного реестра индивидуальных предпринимателей, если заявителем является индивидуальный предприниматель;</w:t>
      </w:r>
    </w:p>
    <w:p w:rsidR="00701D91" w:rsidRDefault="00E6365F">
      <w:pPr>
        <w:pStyle w:val="20"/>
        <w:numPr>
          <w:ilvl w:val="2"/>
          <w:numId w:val="1"/>
        </w:numPr>
        <w:shd w:val="clear" w:color="auto" w:fill="auto"/>
        <w:tabs>
          <w:tab w:val="left" w:pos="1287"/>
        </w:tabs>
        <w:ind w:firstLine="600"/>
        <w:jc w:val="both"/>
      </w:pPr>
      <w:r>
        <w:t>копия документа, удостоверяющего личность заявителя -для физического лица.</w:t>
      </w:r>
    </w:p>
    <w:p w:rsidR="00701D91" w:rsidRDefault="00D97244" w:rsidP="00D97244">
      <w:pPr>
        <w:pStyle w:val="50"/>
        <w:shd w:val="clear" w:color="auto" w:fill="auto"/>
        <w:tabs>
          <w:tab w:val="left" w:pos="1231"/>
          <w:tab w:val="left" w:leader="underscore" w:pos="3350"/>
        </w:tabs>
        <w:ind w:left="600"/>
      </w:pPr>
      <w:r>
        <w:rPr>
          <w:rStyle w:val="51"/>
        </w:rPr>
        <w:t>4.9. Коллегия Ассоциации</w:t>
      </w:r>
      <w:r w:rsidR="00E6365F">
        <w:rPr>
          <w:rStyle w:val="51"/>
        </w:rPr>
        <w:tab/>
        <w:t xml:space="preserve"> выносит</w:t>
      </w:r>
      <w:r>
        <w:rPr>
          <w:rStyle w:val="51"/>
        </w:rPr>
        <w:t xml:space="preserve"> </w:t>
      </w:r>
      <w:r w:rsidR="00E6365F" w:rsidRPr="00D97244">
        <w:rPr>
          <w:i w:val="0"/>
        </w:rPr>
        <w:t>мотивированное решение о выплате или об отказе в выплате из компенсационного фонда</w:t>
      </w:r>
      <w:r>
        <w:rPr>
          <w:i w:val="0"/>
        </w:rPr>
        <w:t xml:space="preserve"> </w:t>
      </w:r>
      <w:r w:rsidR="00E6365F" w:rsidRPr="00D97244">
        <w:rPr>
          <w:i w:val="0"/>
        </w:rPr>
        <w:t xml:space="preserve">возмещения вреда в течение 14 дней с момента </w:t>
      </w:r>
      <w:r>
        <w:rPr>
          <w:i w:val="0"/>
        </w:rPr>
        <w:t>поступления соответствующего заявления с приложением комплекта необходимых документов</w:t>
      </w:r>
      <w:r w:rsidR="00E6365F">
        <w:t>.</w:t>
      </w:r>
    </w:p>
    <w:p w:rsidR="00701D91" w:rsidRPr="00D97244" w:rsidRDefault="00D97244" w:rsidP="00D97244">
      <w:pPr>
        <w:pStyle w:val="50"/>
        <w:shd w:val="clear" w:color="auto" w:fill="auto"/>
        <w:tabs>
          <w:tab w:val="left" w:leader="underscore" w:pos="3689"/>
        </w:tabs>
        <w:ind w:firstLine="567"/>
        <w:rPr>
          <w:i w:val="0"/>
        </w:rPr>
      </w:pPr>
      <w:r>
        <w:rPr>
          <w:rStyle w:val="51"/>
        </w:rPr>
        <w:t>4.10.</w:t>
      </w:r>
      <w:r w:rsidR="00E6365F">
        <w:rPr>
          <w:rStyle w:val="51"/>
        </w:rPr>
        <w:t xml:space="preserve"> Решение</w:t>
      </w:r>
      <w:r>
        <w:rPr>
          <w:rStyle w:val="51"/>
        </w:rPr>
        <w:t xml:space="preserve"> Коллегии Ассоциации</w:t>
      </w:r>
      <w:r w:rsidR="00E6365F">
        <w:rPr>
          <w:rStyle w:val="51"/>
        </w:rPr>
        <w:t xml:space="preserve"> должно</w:t>
      </w:r>
      <w:r>
        <w:rPr>
          <w:rStyle w:val="51"/>
        </w:rPr>
        <w:t xml:space="preserve"> </w:t>
      </w:r>
      <w:r w:rsidR="00E6365F" w:rsidRPr="00D97244">
        <w:rPr>
          <w:i w:val="0"/>
        </w:rPr>
        <w:t>быть направлено или вручено лицу, обратившемуся за возме</w:t>
      </w:r>
      <w:r>
        <w:rPr>
          <w:i w:val="0"/>
        </w:rPr>
        <w:t xml:space="preserve">щением вреда в соответствии с  п. 4.6 </w:t>
      </w:r>
      <w:r w:rsidR="00E6365F" w:rsidRPr="00D97244">
        <w:rPr>
          <w:i w:val="0"/>
        </w:rPr>
        <w:t>настоящего Положения, в течение 7 дней с момента вынесения, а также члену Ассоциации, в результате действий которого был причинен вред.</w:t>
      </w:r>
    </w:p>
    <w:p w:rsidR="00701D91" w:rsidRDefault="00D97244" w:rsidP="00D97244">
      <w:pPr>
        <w:pStyle w:val="20"/>
        <w:shd w:val="clear" w:color="auto" w:fill="auto"/>
        <w:tabs>
          <w:tab w:val="left" w:pos="1164"/>
        </w:tabs>
        <w:ind w:firstLine="709"/>
        <w:jc w:val="both"/>
      </w:pPr>
      <w:r>
        <w:t xml:space="preserve">4.11. </w:t>
      </w:r>
      <w:r w:rsidR="00E6365F">
        <w:t>Ассоциация вправе запрашивать сведения, связанные с причинением вреда и выяснением факта возмещения вреда заявителю членом Ассоциации у:</w:t>
      </w:r>
    </w:p>
    <w:p w:rsidR="00701D91" w:rsidRDefault="00E6365F">
      <w:pPr>
        <w:pStyle w:val="20"/>
        <w:numPr>
          <w:ilvl w:val="0"/>
          <w:numId w:val="2"/>
        </w:numPr>
        <w:shd w:val="clear" w:color="auto" w:fill="auto"/>
        <w:tabs>
          <w:tab w:val="left" w:pos="838"/>
        </w:tabs>
        <w:ind w:firstLine="600"/>
        <w:jc w:val="both"/>
      </w:pPr>
      <w:r>
        <w:t>члена Ассоциации, по вине которого причинен вред заявителю,</w:t>
      </w:r>
    </w:p>
    <w:p w:rsidR="00701D91" w:rsidRDefault="00E6365F">
      <w:pPr>
        <w:pStyle w:val="20"/>
        <w:numPr>
          <w:ilvl w:val="0"/>
          <w:numId w:val="2"/>
        </w:numPr>
        <w:shd w:val="clear" w:color="auto" w:fill="auto"/>
        <w:tabs>
          <w:tab w:val="left" w:pos="838"/>
        </w:tabs>
        <w:ind w:firstLine="600"/>
        <w:jc w:val="both"/>
      </w:pPr>
      <w:r>
        <w:t>правоохранительных органов,</w:t>
      </w:r>
    </w:p>
    <w:p w:rsidR="00701D91" w:rsidRDefault="00E6365F">
      <w:pPr>
        <w:pStyle w:val="20"/>
        <w:numPr>
          <w:ilvl w:val="0"/>
          <w:numId w:val="2"/>
        </w:numPr>
        <w:shd w:val="clear" w:color="auto" w:fill="auto"/>
        <w:tabs>
          <w:tab w:val="left" w:pos="838"/>
        </w:tabs>
        <w:ind w:firstLine="600"/>
        <w:jc w:val="both"/>
      </w:pPr>
      <w:r>
        <w:lastRenderedPageBreak/>
        <w:t>банков,</w:t>
      </w:r>
    </w:p>
    <w:p w:rsidR="00701D91" w:rsidRDefault="00E6365F">
      <w:pPr>
        <w:pStyle w:val="20"/>
        <w:shd w:val="clear" w:color="auto" w:fill="auto"/>
        <w:ind w:firstLine="600"/>
        <w:jc w:val="both"/>
      </w:pPr>
      <w:r>
        <w:t>-</w:t>
      </w:r>
      <w:r w:rsidR="00D97244">
        <w:t xml:space="preserve"> </w:t>
      </w:r>
      <w:r>
        <w:t>страховых компаний и других предприятий, учреждений и организаций, располагающих информацией об обстоятельствах причинения вреда,</w:t>
      </w:r>
    </w:p>
    <w:p w:rsidR="00701D91" w:rsidRDefault="00E6365F">
      <w:pPr>
        <w:pStyle w:val="20"/>
        <w:shd w:val="clear" w:color="auto" w:fill="auto"/>
        <w:ind w:firstLine="600"/>
        <w:jc w:val="both"/>
      </w:pPr>
      <w:r>
        <w:t>а также вправе самостоятельно выяснить причины и обстоятельства причинения вреда.</w:t>
      </w:r>
    </w:p>
    <w:p w:rsidR="00701D91" w:rsidRDefault="00D97244" w:rsidP="00D97244">
      <w:pPr>
        <w:pStyle w:val="20"/>
        <w:shd w:val="clear" w:color="auto" w:fill="auto"/>
        <w:tabs>
          <w:tab w:val="left" w:pos="1174"/>
        </w:tabs>
        <w:ind w:firstLine="709"/>
        <w:jc w:val="both"/>
      </w:pPr>
      <w:r>
        <w:t xml:space="preserve">4.12. </w:t>
      </w:r>
      <w:r w:rsidR="00E6365F">
        <w:t>Порядок осуществления выплат из средств компенсационного фонда возмещения вреда в случае, предусмотренном и. 4.1.4. настоящего Положения, устанавливается законодательством Российской Федерации.</w:t>
      </w:r>
    </w:p>
    <w:p w:rsidR="00701D91" w:rsidRDefault="00E6365F" w:rsidP="00D97244">
      <w:pPr>
        <w:pStyle w:val="50"/>
        <w:numPr>
          <w:ilvl w:val="1"/>
          <w:numId w:val="6"/>
        </w:numPr>
        <w:shd w:val="clear" w:color="auto" w:fill="auto"/>
        <w:tabs>
          <w:tab w:val="left" w:leader="underscore" w:pos="5299"/>
        </w:tabs>
        <w:ind w:left="0" w:firstLine="709"/>
      </w:pPr>
      <w:r w:rsidRPr="00D97244">
        <w:rPr>
          <w:rStyle w:val="51"/>
          <w:i/>
        </w:rPr>
        <w:t xml:space="preserve">В </w:t>
      </w:r>
      <w:r w:rsidRPr="00D97244">
        <w:rPr>
          <w:rStyle w:val="51"/>
        </w:rPr>
        <w:t xml:space="preserve">случае принятия </w:t>
      </w:r>
      <w:r w:rsidR="00D97244" w:rsidRPr="00D97244">
        <w:rPr>
          <w:rStyle w:val="51"/>
        </w:rPr>
        <w:t>Коллегией Ассоциации</w:t>
      </w:r>
      <w:r w:rsidRPr="00D97244">
        <w:rPr>
          <w:i w:val="0"/>
        </w:rPr>
        <w:t xml:space="preserve"> решения о выплате средств из компенсационного фонда возмещения вреда, срок выплаты не может быть более 30 дней со дня принятия</w:t>
      </w:r>
      <w:r>
        <w:t xml:space="preserve"> </w:t>
      </w:r>
      <w:r w:rsidRPr="00D97244">
        <w:rPr>
          <w:i w:val="0"/>
        </w:rPr>
        <w:t>такого решения.</w:t>
      </w:r>
    </w:p>
    <w:p w:rsidR="00701D91" w:rsidRDefault="00D97244" w:rsidP="00D97244">
      <w:pPr>
        <w:pStyle w:val="20"/>
        <w:shd w:val="clear" w:color="auto" w:fill="auto"/>
        <w:tabs>
          <w:tab w:val="left" w:pos="1164"/>
        </w:tabs>
        <w:ind w:firstLine="709"/>
        <w:jc w:val="both"/>
      </w:pPr>
      <w:r>
        <w:t xml:space="preserve">4.14. </w:t>
      </w:r>
      <w:r w:rsidR="00E6365F">
        <w:t>Денежные средства из компенсационного фонда возмещения вреда перечисляются в безналичной форме.</w:t>
      </w:r>
    </w:p>
    <w:p w:rsidR="00701D91" w:rsidRDefault="00D97244" w:rsidP="00D97244">
      <w:pPr>
        <w:pStyle w:val="50"/>
        <w:shd w:val="clear" w:color="auto" w:fill="auto"/>
        <w:tabs>
          <w:tab w:val="left" w:leader="underscore" w:pos="3689"/>
        </w:tabs>
        <w:spacing w:after="507"/>
        <w:ind w:firstLine="709"/>
      </w:pPr>
      <w:r>
        <w:rPr>
          <w:rStyle w:val="51"/>
        </w:rPr>
        <w:t xml:space="preserve">4.15. </w:t>
      </w:r>
      <w:r w:rsidR="00E6365F">
        <w:rPr>
          <w:rStyle w:val="51"/>
        </w:rPr>
        <w:t>Решение</w:t>
      </w:r>
      <w:r>
        <w:rPr>
          <w:rStyle w:val="51"/>
        </w:rPr>
        <w:t xml:space="preserve"> Коллегии Ассоциации</w:t>
      </w:r>
      <w:r w:rsidR="00E6365F">
        <w:rPr>
          <w:rStyle w:val="51"/>
        </w:rPr>
        <w:t xml:space="preserve"> может</w:t>
      </w:r>
      <w:r>
        <w:rPr>
          <w:rStyle w:val="51"/>
        </w:rPr>
        <w:t xml:space="preserve"> </w:t>
      </w:r>
      <w:r w:rsidR="00E6365F" w:rsidRPr="00D97244">
        <w:rPr>
          <w:i w:val="0"/>
        </w:rPr>
        <w:t>быть обжаловано в суд в порядке, установленном законодательством Российской Федерации.</w:t>
      </w:r>
    </w:p>
    <w:p w:rsidR="00701D91" w:rsidRDefault="00E6365F" w:rsidP="00D97244">
      <w:pPr>
        <w:pStyle w:val="10"/>
        <w:keepNext/>
        <w:keepLines/>
        <w:numPr>
          <w:ilvl w:val="0"/>
          <w:numId w:val="5"/>
        </w:numPr>
        <w:shd w:val="clear" w:color="auto" w:fill="auto"/>
        <w:tabs>
          <w:tab w:val="left" w:pos="934"/>
        </w:tabs>
        <w:spacing w:after="0" w:line="240" w:lineRule="exact"/>
      </w:pPr>
      <w:bookmarkStart w:id="7" w:name="bookmark7"/>
      <w:r>
        <w:t>ВОСПОЛНЕНИЕ СРЕДСТВ КОМПЕНСАЦИОННОГО ФОНДА ВОЗМЕЩЕНИЯ</w:t>
      </w:r>
      <w:bookmarkEnd w:id="7"/>
    </w:p>
    <w:p w:rsidR="00701D91" w:rsidRDefault="00E6365F">
      <w:pPr>
        <w:pStyle w:val="10"/>
        <w:keepNext/>
        <w:keepLines/>
        <w:shd w:val="clear" w:color="auto" w:fill="auto"/>
        <w:spacing w:after="206" w:line="240" w:lineRule="exact"/>
        <w:ind w:right="20"/>
        <w:jc w:val="center"/>
      </w:pPr>
      <w:bookmarkStart w:id="8" w:name="bookmark8"/>
      <w:r>
        <w:t>ВРЕДА</w:t>
      </w:r>
      <w:bookmarkEnd w:id="8"/>
    </w:p>
    <w:p w:rsidR="00701D91" w:rsidRDefault="00E6365F" w:rsidP="00D97244">
      <w:pPr>
        <w:pStyle w:val="20"/>
        <w:numPr>
          <w:ilvl w:val="1"/>
          <w:numId w:val="5"/>
        </w:numPr>
        <w:shd w:val="clear" w:color="auto" w:fill="auto"/>
        <w:tabs>
          <w:tab w:val="left" w:pos="600"/>
        </w:tabs>
        <w:ind w:left="0" w:firstLine="600"/>
        <w:jc w:val="both"/>
      </w:pPr>
      <w: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и.5.2.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701D91" w:rsidRDefault="00E6365F" w:rsidP="00D97244">
      <w:pPr>
        <w:pStyle w:val="20"/>
        <w:numPr>
          <w:ilvl w:val="1"/>
          <w:numId w:val="5"/>
        </w:numPr>
        <w:shd w:val="clear" w:color="auto" w:fill="auto"/>
        <w:tabs>
          <w:tab w:val="left" w:pos="600"/>
        </w:tabs>
        <w:ind w:left="0" w:firstLine="600"/>
        <w:jc w:val="both"/>
      </w:pPr>
      <w: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в установленный п.5.1, настоящего положения срок со дня осуществления указанных выплат.</w:t>
      </w:r>
    </w:p>
    <w:p w:rsidR="00701D91" w:rsidRDefault="00E6365F" w:rsidP="00D97244">
      <w:pPr>
        <w:pStyle w:val="20"/>
        <w:numPr>
          <w:ilvl w:val="1"/>
          <w:numId w:val="5"/>
        </w:numPr>
        <w:shd w:val="clear" w:color="auto" w:fill="auto"/>
        <w:tabs>
          <w:tab w:val="left" w:pos="600"/>
        </w:tabs>
        <w:ind w:left="0" w:firstLine="600"/>
        <w:jc w:val="both"/>
      </w:pPr>
      <w: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w:t>
      </w:r>
    </w:p>
    <w:p w:rsidR="00F2610A" w:rsidRDefault="00E6365F" w:rsidP="00F2610A">
      <w:pPr>
        <w:pStyle w:val="20"/>
        <w:shd w:val="clear" w:color="auto" w:fill="auto"/>
        <w:jc w:val="both"/>
      </w:pPr>
      <w:r>
        <w:t>Ассоциации должны внести взносы в компенсационный фонд возмещения вреда в установленный п.5.1,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01D91" w:rsidRPr="00F2610A" w:rsidRDefault="00F2610A" w:rsidP="00F2610A">
      <w:pPr>
        <w:pStyle w:val="20"/>
        <w:shd w:val="clear" w:color="auto" w:fill="auto"/>
        <w:ind w:firstLine="600"/>
        <w:jc w:val="both"/>
      </w:pPr>
      <w:r>
        <w:t xml:space="preserve">5.4. </w:t>
      </w:r>
      <w:r w:rsidR="00E6365F">
        <w:t>Решение о дополнительных взносах в компенсационный фонд возмещения вреда с</w:t>
      </w:r>
      <w:r w:rsidR="00D97244">
        <w:t xml:space="preserve"> </w:t>
      </w:r>
      <w:r w:rsidR="00E6365F" w:rsidRPr="00D97244">
        <w:rPr>
          <w:rStyle w:val="51"/>
          <w:i w:val="0"/>
        </w:rPr>
        <w:t xml:space="preserve">целью его восполнения принимает </w:t>
      </w:r>
      <w:r w:rsidR="00D97244" w:rsidRPr="00D97244">
        <w:rPr>
          <w:rStyle w:val="51"/>
          <w:i w:val="0"/>
        </w:rPr>
        <w:t xml:space="preserve">Общее собрание  </w:t>
      </w:r>
      <w:r w:rsidR="00E6365F" w:rsidRPr="00D97244">
        <w:rPr>
          <w:rStyle w:val="21"/>
          <w:i w:val="0"/>
        </w:rPr>
        <w:t>Ассоциации</w:t>
      </w:r>
      <w:r w:rsidR="00E6365F">
        <w:t xml:space="preserve"> на своем бл</w:t>
      </w:r>
      <w:r w:rsidR="00D97244">
        <w:t xml:space="preserve">ижайшем заседании. В решении Общего собрания Ассоциации </w:t>
      </w:r>
      <w:r w:rsidR="00E6365F">
        <w:t>уполномоченного органа Ассоциации</w:t>
      </w:r>
      <w:r w:rsidR="00E6365F" w:rsidRPr="00D97244">
        <w:rPr>
          <w:i/>
        </w:rPr>
        <w:t>)</w:t>
      </w:r>
      <w:r w:rsidR="00E6365F" w:rsidRPr="00D97244">
        <w:rPr>
          <w:rStyle w:val="51"/>
          <w:i w:val="0"/>
        </w:rPr>
        <w:t xml:space="preserve"> должно быть указано:</w:t>
      </w:r>
    </w:p>
    <w:p w:rsidR="00701D91" w:rsidRDefault="00E6365F">
      <w:pPr>
        <w:pStyle w:val="20"/>
        <w:numPr>
          <w:ilvl w:val="0"/>
          <w:numId w:val="2"/>
        </w:numPr>
        <w:shd w:val="clear" w:color="auto" w:fill="auto"/>
        <w:ind w:firstLine="600"/>
        <w:jc w:val="both"/>
      </w:pPr>
      <w:r>
        <w:t xml:space="preserve"> причина уменьшения размера компенсационного фонда возмещения вреда ниже минимального;</w:t>
      </w:r>
    </w:p>
    <w:p w:rsidR="00701D91" w:rsidRDefault="00E6365F">
      <w:pPr>
        <w:pStyle w:val="20"/>
        <w:numPr>
          <w:ilvl w:val="0"/>
          <w:numId w:val="2"/>
        </w:numPr>
        <w:shd w:val="clear" w:color="auto" w:fill="auto"/>
        <w:tabs>
          <w:tab w:val="left" w:pos="798"/>
        </w:tabs>
        <w:ind w:firstLine="600"/>
        <w:jc w:val="both"/>
      </w:pPr>
      <w:r>
        <w:t>размер дополнительного взноса в компенсационный фонд возмещения вреда с каждого члена Ассоциации;</w:t>
      </w:r>
    </w:p>
    <w:p w:rsidR="00701D91" w:rsidRDefault="00E6365F">
      <w:pPr>
        <w:pStyle w:val="20"/>
        <w:numPr>
          <w:ilvl w:val="0"/>
          <w:numId w:val="2"/>
        </w:numPr>
        <w:shd w:val="clear" w:color="auto" w:fill="auto"/>
        <w:tabs>
          <w:tab w:val="left" w:pos="793"/>
        </w:tabs>
        <w:ind w:firstLine="600"/>
        <w:jc w:val="both"/>
      </w:pPr>
      <w:r>
        <w:t>срок, в течение которого должны быть осуществлены взносы в компенсационный фонд возмещения вреда;</w:t>
      </w:r>
    </w:p>
    <w:p w:rsidR="00701D91" w:rsidRDefault="00E6365F">
      <w:pPr>
        <w:pStyle w:val="20"/>
        <w:numPr>
          <w:ilvl w:val="0"/>
          <w:numId w:val="2"/>
        </w:numPr>
        <w:shd w:val="clear" w:color="auto" w:fill="auto"/>
        <w:tabs>
          <w:tab w:val="left" w:pos="793"/>
        </w:tabs>
        <w:spacing w:after="267"/>
        <w:ind w:firstLine="600"/>
        <w:jc w:val="both"/>
      </w:pPr>
      <w:r>
        <w:t>меры для предотвращения в последующем сбора дополнительных взносов в компенсационный фонд возмещения вреда Ассоциации.</w:t>
      </w:r>
    </w:p>
    <w:p w:rsidR="00701D91" w:rsidRDefault="00E6365F" w:rsidP="00F2610A">
      <w:pPr>
        <w:pStyle w:val="10"/>
        <w:keepNext/>
        <w:keepLines/>
        <w:numPr>
          <w:ilvl w:val="0"/>
          <w:numId w:val="5"/>
        </w:numPr>
        <w:shd w:val="clear" w:color="auto" w:fill="auto"/>
        <w:tabs>
          <w:tab w:val="left" w:pos="1732"/>
        </w:tabs>
        <w:spacing w:after="0" w:line="240" w:lineRule="exact"/>
        <w:jc w:val="center"/>
      </w:pPr>
      <w:bookmarkStart w:id="9" w:name="bookmark9"/>
      <w:r>
        <w:lastRenderedPageBreak/>
        <w:t>КОНТРОЛЬ ЗА СОСТОЯНИЕМ КОМПЕНСАЦИОННОГО ФОНДА</w:t>
      </w:r>
      <w:bookmarkEnd w:id="9"/>
    </w:p>
    <w:p w:rsidR="00701D91" w:rsidRDefault="00E6365F">
      <w:pPr>
        <w:pStyle w:val="10"/>
        <w:keepNext/>
        <w:keepLines/>
        <w:shd w:val="clear" w:color="auto" w:fill="auto"/>
        <w:spacing w:after="261" w:line="240" w:lineRule="exact"/>
        <w:ind w:right="20"/>
        <w:jc w:val="center"/>
      </w:pPr>
      <w:bookmarkStart w:id="10" w:name="bookmark10"/>
      <w:r>
        <w:t>ВОЗМЕЩЕНИЯ ВРЕДА</w:t>
      </w:r>
      <w:bookmarkEnd w:id="10"/>
    </w:p>
    <w:p w:rsidR="00701D91" w:rsidRDefault="00E6365F" w:rsidP="00F2610A">
      <w:pPr>
        <w:pStyle w:val="20"/>
        <w:numPr>
          <w:ilvl w:val="1"/>
          <w:numId w:val="5"/>
        </w:numPr>
        <w:shd w:val="clear" w:color="auto" w:fill="auto"/>
        <w:tabs>
          <w:tab w:val="left" w:pos="1124"/>
          <w:tab w:val="left" w:leader="underscore" w:pos="9979"/>
        </w:tabs>
        <w:jc w:val="both"/>
      </w:pPr>
      <w:r>
        <w:t>Контроль за состояние</w:t>
      </w:r>
      <w:bookmarkStart w:id="11" w:name="_GoBack"/>
      <w:bookmarkEnd w:id="11"/>
      <w:r>
        <w:t xml:space="preserve">м компенсационного фонда осуществляет </w:t>
      </w:r>
      <w:r w:rsidR="00F2610A" w:rsidRPr="00F2610A">
        <w:rPr>
          <w:iCs/>
        </w:rPr>
        <w:t>Коллегия Ассоциации</w:t>
      </w:r>
      <w:r>
        <w:t>.</w:t>
      </w:r>
    </w:p>
    <w:p w:rsidR="00701D91" w:rsidRDefault="00E6365F" w:rsidP="00F2610A">
      <w:pPr>
        <w:pStyle w:val="20"/>
        <w:numPr>
          <w:ilvl w:val="1"/>
          <w:numId w:val="5"/>
        </w:numPr>
        <w:shd w:val="clear" w:color="auto" w:fill="auto"/>
        <w:tabs>
          <w:tab w:val="left" w:pos="600"/>
        </w:tabs>
        <w:spacing w:after="267"/>
        <w:ind w:left="0" w:firstLine="709"/>
        <w:jc w:val="both"/>
      </w:pPr>
      <w:r>
        <w:t xml:space="preserve">Информация о текущем размере компенсационного фонда должна размещаться на сайте Ассоциации в соответствии с частью 4 статьи 7 Федеральный закон от 01.12.2007 </w:t>
      </w:r>
      <w:r>
        <w:rPr>
          <w:lang w:val="en-US" w:eastAsia="en-US" w:bidi="en-US"/>
        </w:rPr>
        <w:t xml:space="preserve">N </w:t>
      </w:r>
      <w:r>
        <w:t>315- ФЗ "О саморегулируемых организациях".</w:t>
      </w:r>
    </w:p>
    <w:p w:rsidR="00701D91" w:rsidRDefault="00E6365F" w:rsidP="00F2610A">
      <w:pPr>
        <w:pStyle w:val="10"/>
        <w:keepNext/>
        <w:keepLines/>
        <w:numPr>
          <w:ilvl w:val="0"/>
          <w:numId w:val="5"/>
        </w:numPr>
        <w:shd w:val="clear" w:color="auto" w:fill="auto"/>
        <w:tabs>
          <w:tab w:val="left" w:pos="3392"/>
        </w:tabs>
        <w:spacing w:after="251" w:line="240" w:lineRule="exact"/>
        <w:jc w:val="center"/>
      </w:pPr>
      <w:bookmarkStart w:id="12" w:name="bookmark11"/>
      <w:r>
        <w:t>ЗАКЛЮЧИТЕЛЬНЫЕ ПОЛОЖЕНИЯ</w:t>
      </w:r>
      <w:bookmarkEnd w:id="12"/>
    </w:p>
    <w:p w:rsidR="00701D91" w:rsidRDefault="00E6365F">
      <w:pPr>
        <w:pStyle w:val="20"/>
        <w:shd w:val="clear" w:color="auto" w:fill="auto"/>
        <w:ind w:firstLine="600"/>
        <w:jc w:val="both"/>
        <w:sectPr w:rsidR="00701D91">
          <w:pgSz w:w="11900" w:h="16840"/>
          <w:pgMar w:top="1143" w:right="624" w:bottom="1321" w:left="1153" w:header="0" w:footer="3" w:gutter="0"/>
          <w:cols w:space="720"/>
          <w:noEndnote/>
          <w:docGrid w:linePitch="360"/>
        </w:sectPr>
      </w:pPr>
      <w:r>
        <w:t>7.1.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701D91" w:rsidRDefault="00E6365F">
      <w:pPr>
        <w:pStyle w:val="20"/>
        <w:shd w:val="clear" w:color="auto" w:fill="auto"/>
        <w:jc w:val="both"/>
      </w:pPr>
      <w:r>
        <w:lastRenderedPageBreak/>
        <w:t>*Уполномоченный орган Ассоциации - высший, коллегиальный, исполнительный орган, определенный внутренними документами Ассоциации.</w:t>
      </w:r>
    </w:p>
    <w:sectPr w:rsidR="00701D91">
      <w:pgSz w:w="11900" w:h="16840"/>
      <w:pgMar w:top="7820" w:right="698" w:bottom="7820" w:left="12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B2" w:rsidRDefault="00DF42B2">
      <w:r>
        <w:separator/>
      </w:r>
    </w:p>
  </w:endnote>
  <w:endnote w:type="continuationSeparator" w:id="0">
    <w:p w:rsidR="00DF42B2" w:rsidRDefault="00DF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B2" w:rsidRDefault="00DF42B2"/>
  </w:footnote>
  <w:footnote w:type="continuationSeparator" w:id="0">
    <w:p w:rsidR="00DF42B2" w:rsidRDefault="00DF4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96F"/>
    <w:multiLevelType w:val="multilevel"/>
    <w:tmpl w:val="DDDE36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526E9"/>
    <w:multiLevelType w:val="multilevel"/>
    <w:tmpl w:val="C284CB6C"/>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2AA36775"/>
    <w:multiLevelType w:val="multilevel"/>
    <w:tmpl w:val="A5D8F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51D9F"/>
    <w:multiLevelType w:val="multilevel"/>
    <w:tmpl w:val="1A300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826AE"/>
    <w:multiLevelType w:val="multilevel"/>
    <w:tmpl w:val="421CB2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02179D"/>
    <w:multiLevelType w:val="multilevel"/>
    <w:tmpl w:val="1DA4665E"/>
    <w:lvl w:ilvl="0">
      <w:start w:val="4"/>
      <w:numFmt w:val="decimal"/>
      <w:lvlText w:val="%1."/>
      <w:lvlJc w:val="left"/>
      <w:pPr>
        <w:ind w:left="480" w:hanging="480"/>
      </w:pPr>
      <w:rPr>
        <w:rFonts w:hint="default"/>
        <w:i w:val="0"/>
      </w:rPr>
    </w:lvl>
    <w:lvl w:ilvl="1">
      <w:start w:val="13"/>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1"/>
    <w:rsid w:val="00701D91"/>
    <w:rsid w:val="00AE30D1"/>
    <w:rsid w:val="00D97244"/>
    <w:rsid w:val="00DF42B2"/>
    <w:rsid w:val="00E6365F"/>
    <w:rsid w:val="00F2610A"/>
    <w:rsid w:val="00F4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35A2"/>
  <w15:docId w15:val="{6EFCFD20-CDD6-44A8-886F-9CE5771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140" w:line="370" w:lineRule="exact"/>
    </w:pPr>
    <w:rPr>
      <w:rFonts w:ascii="Times New Roman" w:eastAsia="Times New Roman" w:hAnsi="Times New Roman" w:cs="Times New Roman"/>
      <w:b/>
      <w:bCs/>
      <w:sz w:val="32"/>
      <w:szCs w:val="32"/>
    </w:rPr>
  </w:style>
  <w:style w:type="paragraph" w:customStyle="1" w:styleId="120">
    <w:name w:val="Заголовок №1 (2)"/>
    <w:basedOn w:val="a"/>
    <w:link w:val="12"/>
    <w:pPr>
      <w:shd w:val="clear" w:color="auto" w:fill="FFFFFF"/>
      <w:spacing w:before="5580" w:after="60"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60" w:line="0" w:lineRule="atLeas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360" w:line="0" w:lineRule="atLeast"/>
      <w:jc w:val="both"/>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Rinpoche Nagual</dc:creator>
  <cp:keywords/>
  <cp:lastModifiedBy>Rinpoche Nagual</cp:lastModifiedBy>
  <cp:revision>5</cp:revision>
  <dcterms:created xsi:type="dcterms:W3CDTF">2016-09-27T08:29:00Z</dcterms:created>
  <dcterms:modified xsi:type="dcterms:W3CDTF">2016-09-27T12:06:00Z</dcterms:modified>
</cp:coreProperties>
</file>